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15476E" w:rsidRDefault="0090641B" w:rsidP="00731155">
      <w:pPr>
        <w:pStyle w:val="paragraph"/>
        <w:spacing w:before="0" w:beforeAutospacing="0" w:after="0" w:afterAutospacing="0"/>
        <w:jc w:val="center"/>
        <w:textAlignment w:val="baseline"/>
        <w:rPr>
          <w:rFonts w:ascii="Calibri" w:hAnsi="Calibri" w:cs="Calibri"/>
          <w:sz w:val="22"/>
          <w:szCs w:val="22"/>
        </w:rPr>
      </w:pPr>
      <w:r w:rsidRPr="0015476E">
        <w:rPr>
          <w:rStyle w:val="normaltextrun"/>
          <w:rFonts w:ascii="Calibri" w:hAnsi="Calibri" w:cs="Calibri"/>
          <w:b/>
          <w:bCs/>
          <w:sz w:val="22"/>
          <w:szCs w:val="22"/>
        </w:rPr>
        <w:t>Undergraduate Teaching Continuity and Recovery</w:t>
      </w:r>
      <w:r w:rsidRPr="0015476E">
        <w:rPr>
          <w:rStyle w:val="eop"/>
          <w:rFonts w:ascii="Calibri" w:hAnsi="Calibri" w:cs="Calibri"/>
          <w:sz w:val="22"/>
          <w:szCs w:val="22"/>
        </w:rPr>
        <w:t> </w:t>
      </w:r>
    </w:p>
    <w:p w14:paraId="0591CAB4" w14:textId="76566AD4" w:rsidR="0090641B" w:rsidRPr="0015476E" w:rsidRDefault="0090641B" w:rsidP="00731155">
      <w:pPr>
        <w:pStyle w:val="paragraph"/>
        <w:spacing w:before="0" w:beforeAutospacing="0" w:after="0" w:afterAutospacing="0"/>
        <w:jc w:val="center"/>
        <w:textAlignment w:val="baseline"/>
        <w:rPr>
          <w:rStyle w:val="normaltextrun"/>
          <w:rFonts w:ascii="Calibri" w:hAnsi="Calibri" w:cs="Calibri"/>
          <w:sz w:val="22"/>
          <w:szCs w:val="22"/>
        </w:rPr>
      </w:pPr>
      <w:r w:rsidRPr="0015476E">
        <w:rPr>
          <w:rStyle w:val="normaltextrun"/>
          <w:rFonts w:ascii="Calibri" w:hAnsi="Calibri" w:cs="Calibri"/>
          <w:sz w:val="22"/>
          <w:szCs w:val="22"/>
        </w:rPr>
        <w:t>Meeting on </w:t>
      </w:r>
      <w:r w:rsidR="0015476E">
        <w:rPr>
          <w:rStyle w:val="normaltextrun"/>
          <w:rFonts w:ascii="Calibri" w:hAnsi="Calibri" w:cs="Calibri"/>
          <w:sz w:val="22"/>
          <w:szCs w:val="22"/>
        </w:rPr>
        <w:t>December 15</w:t>
      </w:r>
      <w:r w:rsidR="00215A37" w:rsidRPr="0015476E">
        <w:rPr>
          <w:rStyle w:val="normaltextrun"/>
          <w:rFonts w:ascii="Calibri" w:hAnsi="Calibri" w:cs="Calibri"/>
          <w:sz w:val="22"/>
          <w:szCs w:val="22"/>
        </w:rPr>
        <w:t xml:space="preserve"> </w:t>
      </w:r>
      <w:r w:rsidRPr="0015476E">
        <w:rPr>
          <w:rStyle w:val="normaltextrun"/>
          <w:rFonts w:ascii="Calibri" w:hAnsi="Calibri" w:cs="Calibri"/>
          <w:sz w:val="22"/>
          <w:szCs w:val="22"/>
        </w:rPr>
        <w:t>@ </w:t>
      </w:r>
      <w:r w:rsidR="0015476E">
        <w:rPr>
          <w:rStyle w:val="normaltextrun"/>
          <w:rFonts w:ascii="Calibri" w:hAnsi="Calibri" w:cs="Calibri"/>
          <w:sz w:val="22"/>
          <w:szCs w:val="22"/>
        </w:rPr>
        <w:t>3</w:t>
      </w:r>
      <w:r w:rsidR="007A2ED8" w:rsidRPr="0015476E">
        <w:rPr>
          <w:rStyle w:val="normaltextrun"/>
          <w:rFonts w:ascii="Calibri" w:hAnsi="Calibri" w:cs="Calibri"/>
          <w:sz w:val="22"/>
          <w:szCs w:val="22"/>
        </w:rPr>
        <w:t>:00</w:t>
      </w:r>
      <w:r w:rsidR="006E00E6">
        <w:rPr>
          <w:rStyle w:val="normaltextrun"/>
          <w:rFonts w:ascii="Calibri" w:hAnsi="Calibri" w:cs="Calibri"/>
          <w:sz w:val="22"/>
          <w:szCs w:val="22"/>
        </w:rPr>
        <w:t>P</w:t>
      </w:r>
      <w:r w:rsidRPr="0015476E">
        <w:rPr>
          <w:rStyle w:val="normaltextrun"/>
          <w:rFonts w:ascii="Calibri" w:hAnsi="Calibri" w:cs="Calibri"/>
          <w:sz w:val="22"/>
          <w:szCs w:val="22"/>
        </w:rPr>
        <w:t>M</w:t>
      </w:r>
    </w:p>
    <w:p w14:paraId="1773327D" w14:textId="77777777" w:rsidR="005614FE" w:rsidRPr="0015476E" w:rsidRDefault="005614FE" w:rsidP="00731155">
      <w:pPr>
        <w:pStyle w:val="paragraph"/>
        <w:spacing w:before="0" w:beforeAutospacing="0" w:after="0" w:afterAutospacing="0"/>
        <w:jc w:val="center"/>
        <w:textAlignment w:val="baseline"/>
        <w:rPr>
          <w:rStyle w:val="normaltextrun"/>
          <w:rFonts w:ascii="Calibri" w:hAnsi="Calibri" w:cs="Calibri"/>
          <w:sz w:val="22"/>
          <w:szCs w:val="22"/>
        </w:rPr>
      </w:pPr>
    </w:p>
    <w:p w14:paraId="6CB7DA4D"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b/>
          <w:bCs/>
          <w:color w:val="252423"/>
          <w:u w:val="single"/>
        </w:rPr>
        <w:t>Agenda Items for 12/15</w:t>
      </w:r>
      <w:r w:rsidRPr="0015476E">
        <w:rPr>
          <w:rFonts w:ascii="Calibri" w:eastAsia="Times New Roman" w:hAnsi="Calibri" w:cs="Calibri"/>
          <w:color w:val="252423"/>
        </w:rPr>
        <w:t>:</w:t>
      </w:r>
    </w:p>
    <w:p w14:paraId="643EA518" w14:textId="77777777" w:rsidR="0015476E" w:rsidRPr="0015476E" w:rsidRDefault="0015476E" w:rsidP="0015476E">
      <w:pPr>
        <w:numPr>
          <w:ilvl w:val="0"/>
          <w:numId w:val="37"/>
        </w:numPr>
        <w:shd w:val="clear" w:color="auto" w:fill="FFFFFF"/>
        <w:spacing w:before="60"/>
        <w:rPr>
          <w:rFonts w:ascii="Calibri" w:eastAsia="Times New Roman" w:hAnsi="Calibri" w:cs="Calibri"/>
          <w:color w:val="252423"/>
        </w:rPr>
      </w:pPr>
      <w:r w:rsidRPr="0015476E">
        <w:rPr>
          <w:rFonts w:ascii="Calibri" w:eastAsia="Times New Roman" w:hAnsi="Calibri" w:cs="Calibri"/>
          <w:color w:val="252423"/>
        </w:rPr>
        <w:t>Update from RO</w:t>
      </w:r>
    </w:p>
    <w:p w14:paraId="525083ED" w14:textId="77777777" w:rsidR="0015476E" w:rsidRPr="0015476E" w:rsidRDefault="0015476E" w:rsidP="0015476E">
      <w:pPr>
        <w:numPr>
          <w:ilvl w:val="0"/>
          <w:numId w:val="37"/>
        </w:numPr>
        <w:shd w:val="clear" w:color="auto" w:fill="FFFFFF"/>
        <w:rPr>
          <w:rFonts w:ascii="Calibri" w:eastAsia="Times New Roman" w:hAnsi="Calibri" w:cs="Calibri"/>
          <w:color w:val="252423"/>
        </w:rPr>
      </w:pPr>
      <w:r w:rsidRPr="0015476E">
        <w:rPr>
          <w:rFonts w:ascii="Calibri" w:eastAsia="Times New Roman" w:hAnsi="Calibri" w:cs="Calibri"/>
          <w:color w:val="252423"/>
        </w:rPr>
        <w:t>Update from Facilities</w:t>
      </w:r>
    </w:p>
    <w:p w14:paraId="75E1FEC0" w14:textId="77777777" w:rsidR="0015476E" w:rsidRPr="0015476E" w:rsidRDefault="0015476E" w:rsidP="0015476E">
      <w:pPr>
        <w:numPr>
          <w:ilvl w:val="0"/>
          <w:numId w:val="37"/>
        </w:numPr>
        <w:shd w:val="clear" w:color="auto" w:fill="FFFFFF"/>
        <w:rPr>
          <w:rFonts w:ascii="Calibri" w:eastAsia="Times New Roman" w:hAnsi="Calibri" w:cs="Calibri"/>
          <w:color w:val="252423"/>
        </w:rPr>
      </w:pPr>
      <w:r w:rsidRPr="0015476E">
        <w:rPr>
          <w:rFonts w:ascii="Calibri" w:eastAsia="Times New Roman" w:hAnsi="Calibri" w:cs="Calibri"/>
          <w:color w:val="252423"/>
        </w:rPr>
        <w:t>Discussion on Synergies between Teaching Continuity and Research Continuity Teams</w:t>
      </w:r>
    </w:p>
    <w:p w14:paraId="79F6FBEA" w14:textId="77777777" w:rsidR="0015476E" w:rsidRPr="0015476E" w:rsidRDefault="0015476E" w:rsidP="0015476E">
      <w:pPr>
        <w:numPr>
          <w:ilvl w:val="0"/>
          <w:numId w:val="37"/>
        </w:numPr>
        <w:shd w:val="clear" w:color="auto" w:fill="FFFFFF"/>
        <w:rPr>
          <w:rFonts w:ascii="Calibri" w:eastAsia="Times New Roman" w:hAnsi="Calibri" w:cs="Calibri"/>
          <w:color w:val="252423"/>
        </w:rPr>
      </w:pPr>
      <w:r w:rsidRPr="0015476E">
        <w:rPr>
          <w:rFonts w:ascii="Calibri" w:eastAsia="Times New Roman" w:hAnsi="Calibri" w:cs="Calibri"/>
          <w:color w:val="252423"/>
        </w:rPr>
        <w:t>Discussion on Phased-In Instruction for Spring 2021.</w:t>
      </w:r>
    </w:p>
    <w:p w14:paraId="3355A966" w14:textId="77777777" w:rsidR="0015476E" w:rsidRDefault="0015476E" w:rsidP="0015476E">
      <w:pPr>
        <w:shd w:val="clear" w:color="auto" w:fill="FFFFFF"/>
        <w:rPr>
          <w:rFonts w:ascii="Calibri" w:eastAsia="Times New Roman" w:hAnsi="Calibri" w:cs="Calibri"/>
          <w:b/>
          <w:bCs/>
          <w:color w:val="252423"/>
        </w:rPr>
      </w:pPr>
    </w:p>
    <w:p w14:paraId="132B3D11" w14:textId="586D7CDA"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b/>
          <w:bCs/>
          <w:color w:val="252423"/>
        </w:rPr>
        <w:t>Discussion on Synergies between Teaching Continuity and Research Continuity Teams</w:t>
      </w:r>
      <w:r w:rsidRPr="0015476E">
        <w:rPr>
          <w:rFonts w:ascii="Calibri" w:eastAsia="Times New Roman" w:hAnsi="Calibri" w:cs="Calibri"/>
          <w:color w:val="252423"/>
        </w:rPr>
        <w:t> - Ben Withers provided an overview about coordinating with other Teams. What areas required testing? Who should be tested? What information could be shared?</w:t>
      </w:r>
    </w:p>
    <w:p w14:paraId="7CD26ECB"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2FF155BD" w14:textId="0C9A3BE4"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xml:space="preserve">Melissa Reynolds noted that as Research Continuity discussed research spaces, they noticed similarities with other spaces on campus. Where are areas of overlap? Discussion on students </w:t>
      </w:r>
      <w:r>
        <w:rPr>
          <w:rFonts w:ascii="Calibri" w:eastAsia="Times New Roman" w:hAnsi="Calibri" w:cs="Calibri"/>
          <w:color w:val="252423"/>
        </w:rPr>
        <w:t>in</w:t>
      </w:r>
      <w:r w:rsidRPr="0015476E">
        <w:rPr>
          <w:rFonts w:ascii="Calibri" w:eastAsia="Times New Roman" w:hAnsi="Calibri" w:cs="Calibri"/>
          <w:color w:val="252423"/>
        </w:rPr>
        <w:t xml:space="preserve"> experiential spaces where students are constantly moving throughout the space </w:t>
      </w:r>
      <w:r>
        <w:rPr>
          <w:rFonts w:ascii="Calibri" w:eastAsia="Times New Roman" w:hAnsi="Calibri" w:cs="Calibri"/>
          <w:color w:val="252423"/>
        </w:rPr>
        <w:t>and</w:t>
      </w:r>
      <w:r w:rsidRPr="0015476E">
        <w:rPr>
          <w:rFonts w:ascii="Calibri" w:eastAsia="Times New Roman" w:hAnsi="Calibri" w:cs="Calibri"/>
          <w:color w:val="252423"/>
        </w:rPr>
        <w:t xml:space="preserve"> the exposure is heightened due to long class periods or inability to social distancing. Research Continuity provided recommendations to the PPT to include the following:</w:t>
      </w:r>
    </w:p>
    <w:p w14:paraId="5872EE07" w14:textId="0311678D" w:rsidR="0015476E" w:rsidRPr="0015476E" w:rsidRDefault="0015476E" w:rsidP="00207E9E">
      <w:pPr>
        <w:numPr>
          <w:ilvl w:val="0"/>
          <w:numId w:val="38"/>
        </w:numPr>
        <w:shd w:val="clear" w:color="auto" w:fill="FFFFFF"/>
        <w:spacing w:before="120"/>
        <w:rPr>
          <w:rFonts w:ascii="Calibri" w:eastAsia="Times New Roman" w:hAnsi="Calibri" w:cs="Calibri"/>
          <w:color w:val="252423"/>
        </w:rPr>
      </w:pPr>
      <w:r w:rsidRPr="0015476E">
        <w:rPr>
          <w:rFonts w:ascii="Calibri" w:eastAsia="Times New Roman" w:hAnsi="Calibri" w:cs="Calibri"/>
          <w:color w:val="252423"/>
        </w:rPr>
        <w:t xml:space="preserve">If there </w:t>
      </w:r>
      <w:r w:rsidR="00B473C6" w:rsidRPr="0015476E">
        <w:rPr>
          <w:rFonts w:ascii="Calibri" w:eastAsia="Times New Roman" w:hAnsi="Calibri" w:cs="Calibri"/>
          <w:color w:val="252423"/>
        </w:rPr>
        <w:t>were</w:t>
      </w:r>
      <w:r w:rsidRPr="0015476E">
        <w:rPr>
          <w:rFonts w:ascii="Calibri" w:eastAsia="Times New Roman" w:hAnsi="Calibri" w:cs="Calibri"/>
          <w:color w:val="252423"/>
        </w:rPr>
        <w:t xml:space="preserve"> a positive case identified, then all individuals would need to be tested.</w:t>
      </w:r>
    </w:p>
    <w:p w14:paraId="4C226F7D" w14:textId="0E3DF8E8" w:rsidR="0015476E" w:rsidRPr="0015476E" w:rsidRDefault="0015476E" w:rsidP="00207E9E">
      <w:pPr>
        <w:numPr>
          <w:ilvl w:val="0"/>
          <w:numId w:val="38"/>
        </w:numPr>
        <w:shd w:val="clear" w:color="auto" w:fill="FFFFFF"/>
        <w:rPr>
          <w:rFonts w:ascii="Calibri" w:eastAsia="Times New Roman" w:hAnsi="Calibri" w:cs="Calibri"/>
          <w:color w:val="252423"/>
        </w:rPr>
      </w:pPr>
      <w:r w:rsidRPr="0015476E">
        <w:rPr>
          <w:rFonts w:ascii="Calibri" w:eastAsia="Times New Roman" w:hAnsi="Calibri" w:cs="Calibri"/>
          <w:color w:val="252423"/>
        </w:rPr>
        <w:t xml:space="preserve">If there </w:t>
      </w:r>
      <w:r w:rsidR="00B473C6">
        <w:rPr>
          <w:rFonts w:ascii="Calibri" w:eastAsia="Times New Roman" w:hAnsi="Calibri" w:cs="Calibri"/>
          <w:color w:val="252423"/>
        </w:rPr>
        <w:t>were</w:t>
      </w:r>
      <w:r w:rsidRPr="0015476E">
        <w:rPr>
          <w:rFonts w:ascii="Calibri" w:eastAsia="Times New Roman" w:hAnsi="Calibri" w:cs="Calibri"/>
          <w:color w:val="252423"/>
        </w:rPr>
        <w:t xml:space="preserve"> a close contact, then individuals </w:t>
      </w:r>
      <w:r w:rsidR="00B473C6">
        <w:rPr>
          <w:rFonts w:ascii="Calibri" w:eastAsia="Times New Roman" w:hAnsi="Calibri" w:cs="Calibri"/>
          <w:color w:val="252423"/>
        </w:rPr>
        <w:t xml:space="preserve">would </w:t>
      </w:r>
      <w:bookmarkStart w:id="0" w:name="_GoBack"/>
      <w:bookmarkEnd w:id="0"/>
      <w:r w:rsidRPr="0015476E">
        <w:rPr>
          <w:rFonts w:ascii="Calibri" w:eastAsia="Times New Roman" w:hAnsi="Calibri" w:cs="Calibri"/>
          <w:color w:val="252423"/>
        </w:rPr>
        <w:t>be contacted within the 24 to 48-hour period.</w:t>
      </w:r>
    </w:p>
    <w:p w14:paraId="1138F9E0" w14:textId="77777777" w:rsidR="00207E9E" w:rsidRDefault="00207E9E" w:rsidP="0015476E">
      <w:pPr>
        <w:shd w:val="clear" w:color="auto" w:fill="FFFFFF"/>
        <w:rPr>
          <w:rFonts w:ascii="Calibri" w:eastAsia="Times New Roman" w:hAnsi="Calibri" w:cs="Calibri"/>
          <w:color w:val="252423"/>
        </w:rPr>
      </w:pPr>
    </w:p>
    <w:p w14:paraId="601BEC4B" w14:textId="477FE9CB"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Melissa Reynolds shared concerns about GTAs. GTAs want to discuss their symptoms to help them make decisions. It was noted that recommendations address concerns from GTAs teaching in labs. </w:t>
      </w:r>
    </w:p>
    <w:p w14:paraId="2A44E9F1"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30CF7D39"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Does everyone self-isolate until test results are received? If the student is not identified as a close contact, then they do not need to self-isolate. If they are identified as a true close contact, then they need to self-isolate.</w:t>
      </w:r>
    </w:p>
    <w:p w14:paraId="2303AFCD"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5F7C18DF"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We could extend these recommendations to our teaching labs, studios, etc. These testing requirements would be helpful in our messaging about our phased-in approach. </w:t>
      </w:r>
    </w:p>
    <w:p w14:paraId="36D31534"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5AE13ED6"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Mary Stromberger would be a liaison with the Research Continuity Team.</w:t>
      </w:r>
    </w:p>
    <w:p w14:paraId="0E347482"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0D664DC3"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b/>
          <w:bCs/>
          <w:color w:val="252423"/>
        </w:rPr>
        <w:t>Discussion on Phased-In Instruction for Spring 2021</w:t>
      </w:r>
      <w:r w:rsidRPr="0015476E">
        <w:rPr>
          <w:rFonts w:ascii="Calibri" w:eastAsia="Times New Roman" w:hAnsi="Calibri" w:cs="Calibri"/>
          <w:color w:val="252423"/>
        </w:rPr>
        <w:t> - Discussion on the approach to phased-in instruction for Spring 2021.</w:t>
      </w:r>
    </w:p>
    <w:p w14:paraId="28C1DD9A"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305F136B"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u w:val="single"/>
        </w:rPr>
        <w:t>Potential Recommendations for Phased-In Instruction</w:t>
      </w:r>
      <w:r w:rsidRPr="0015476E">
        <w:rPr>
          <w:rFonts w:ascii="Calibri" w:eastAsia="Times New Roman" w:hAnsi="Calibri" w:cs="Calibri"/>
          <w:color w:val="252423"/>
        </w:rPr>
        <w:t>:</w:t>
      </w:r>
    </w:p>
    <w:p w14:paraId="4A78CBBC" w14:textId="77777777" w:rsidR="0015476E" w:rsidRPr="0015476E" w:rsidRDefault="0015476E" w:rsidP="00207E9E">
      <w:pPr>
        <w:numPr>
          <w:ilvl w:val="0"/>
          <w:numId w:val="39"/>
        </w:numPr>
        <w:shd w:val="clear" w:color="auto" w:fill="FFFFFF"/>
        <w:spacing w:before="120"/>
        <w:rPr>
          <w:rFonts w:ascii="Calibri" w:eastAsia="Times New Roman" w:hAnsi="Calibri" w:cs="Calibri"/>
          <w:color w:val="252423"/>
        </w:rPr>
      </w:pPr>
      <w:r w:rsidRPr="0015476E">
        <w:rPr>
          <w:rFonts w:ascii="Calibri" w:eastAsia="Times New Roman" w:hAnsi="Calibri" w:cs="Calibri"/>
          <w:color w:val="252423"/>
        </w:rPr>
        <w:t>Phase 1 (Week 1): Remote</w:t>
      </w:r>
    </w:p>
    <w:p w14:paraId="172CB94D" w14:textId="1572F068" w:rsidR="0015476E" w:rsidRPr="0015476E" w:rsidRDefault="0015476E" w:rsidP="00207E9E">
      <w:pPr>
        <w:numPr>
          <w:ilvl w:val="0"/>
          <w:numId w:val="39"/>
        </w:numPr>
        <w:shd w:val="clear" w:color="auto" w:fill="FFFFFF"/>
        <w:rPr>
          <w:rFonts w:ascii="Calibri" w:eastAsia="Times New Roman" w:hAnsi="Calibri" w:cs="Calibri"/>
          <w:color w:val="252423"/>
        </w:rPr>
      </w:pPr>
      <w:r w:rsidRPr="0015476E">
        <w:rPr>
          <w:rFonts w:ascii="Calibri" w:eastAsia="Times New Roman" w:hAnsi="Calibri" w:cs="Calibri"/>
          <w:color w:val="252423"/>
        </w:rPr>
        <w:t>Phase 2 (Week 2): Phase-In Prioritize</w:t>
      </w:r>
      <w:r w:rsidR="00207E9E">
        <w:rPr>
          <w:rFonts w:ascii="Calibri" w:eastAsia="Times New Roman" w:hAnsi="Calibri" w:cs="Calibri"/>
          <w:color w:val="252423"/>
        </w:rPr>
        <w:t>d</w:t>
      </w:r>
      <w:r w:rsidRPr="0015476E">
        <w:rPr>
          <w:rFonts w:ascii="Calibri" w:eastAsia="Times New Roman" w:hAnsi="Calibri" w:cs="Calibri"/>
          <w:color w:val="252423"/>
        </w:rPr>
        <w:t xml:space="preserve"> Cla</w:t>
      </w:r>
      <w:r w:rsidR="00207E9E">
        <w:rPr>
          <w:rFonts w:ascii="Calibri" w:eastAsia="Times New Roman" w:hAnsi="Calibri" w:cs="Calibri"/>
          <w:color w:val="252423"/>
        </w:rPr>
        <w:t>sses for On Campus Instruction</w:t>
      </w:r>
    </w:p>
    <w:p w14:paraId="29CD75D2" w14:textId="77777777" w:rsidR="0015476E" w:rsidRPr="0015476E" w:rsidRDefault="0015476E" w:rsidP="00207E9E">
      <w:pPr>
        <w:numPr>
          <w:ilvl w:val="0"/>
          <w:numId w:val="39"/>
        </w:numPr>
        <w:shd w:val="clear" w:color="auto" w:fill="FFFFFF"/>
        <w:rPr>
          <w:rFonts w:ascii="Calibri" w:eastAsia="Times New Roman" w:hAnsi="Calibri" w:cs="Calibri"/>
          <w:color w:val="252423"/>
        </w:rPr>
      </w:pPr>
      <w:r w:rsidRPr="0015476E">
        <w:rPr>
          <w:rFonts w:ascii="Calibri" w:eastAsia="Times New Roman" w:hAnsi="Calibri" w:cs="Calibri"/>
          <w:color w:val="252423"/>
        </w:rPr>
        <w:t>Phase 3 (Week 3): All Classes for On Campus Instruction</w:t>
      </w:r>
    </w:p>
    <w:p w14:paraId="34BBDC58" w14:textId="77777777" w:rsidR="00207E9E" w:rsidRDefault="00207E9E" w:rsidP="0015476E">
      <w:pPr>
        <w:shd w:val="clear" w:color="auto" w:fill="FFFFFF"/>
        <w:rPr>
          <w:rFonts w:ascii="Calibri" w:eastAsia="Times New Roman" w:hAnsi="Calibri" w:cs="Calibri"/>
          <w:color w:val="252423"/>
        </w:rPr>
      </w:pPr>
    </w:p>
    <w:p w14:paraId="4A2DD1A1" w14:textId="51D6B3C8"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We would prioritize labs, studios, makerspaces, first-year small sections, and senior-year small sections. We would identify courses for on-campus instruction in Phase 2.</w:t>
      </w:r>
    </w:p>
    <w:p w14:paraId="5ACFED3F"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75CD68F8"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We need to consider our residence halls and a pre-registration deficit. Kelly Long emphasized a concern from the Associate Deans about low enrollment in AUCC courses for Spring 2021. </w:t>
      </w:r>
    </w:p>
    <w:p w14:paraId="6440DF30"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lastRenderedPageBreak/>
        <w:t> </w:t>
      </w:r>
    </w:p>
    <w:p w14:paraId="27BF2043"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Deans would review the document with their departments for priority courses. Deans need to verify that courses would be taught F2F and instructors are willing to teach F2F. There would not be a change to Spring Break. Students would not return after Spring Break.</w:t>
      </w:r>
    </w:p>
    <w:p w14:paraId="6A456C6D"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045D7362"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What is the metric for determining courses to return in Phase 2? Is it 20 percent of sections slated for F2F? Is it 20 percent of students? What is the guidance? </w:t>
      </w:r>
    </w:p>
    <w:p w14:paraId="10202BA7"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3D377039"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We need to think about two constituencies: first-year students and graduating seniors. What would be the impression of future alumni? How can we get first-year students back onto campus?</w:t>
      </w:r>
    </w:p>
    <w:p w14:paraId="12D90A49"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2B6C4240"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Julia Murphy provided the breakdown on Spring 2021 courses:</w:t>
      </w:r>
    </w:p>
    <w:tbl>
      <w:tblPr>
        <w:tblW w:w="0" w:type="auto"/>
        <w:tblBorders>
          <w:top w:val="single" w:sz="6" w:space="0" w:color="252423"/>
          <w:left w:val="single" w:sz="6" w:space="0" w:color="252423"/>
          <w:bottom w:val="single" w:sz="6" w:space="0" w:color="252423"/>
          <w:right w:val="single" w:sz="6" w:space="0" w:color="252423"/>
        </w:tblBorders>
        <w:tblCellMar>
          <w:top w:w="15" w:type="dxa"/>
          <w:left w:w="15" w:type="dxa"/>
          <w:bottom w:w="15" w:type="dxa"/>
          <w:right w:w="15" w:type="dxa"/>
        </w:tblCellMar>
        <w:tblLook w:val="04A0" w:firstRow="1" w:lastRow="0" w:firstColumn="1" w:lastColumn="0" w:noHBand="0" w:noVBand="1"/>
      </w:tblPr>
      <w:tblGrid>
        <w:gridCol w:w="3211"/>
        <w:gridCol w:w="792"/>
        <w:gridCol w:w="1112"/>
      </w:tblGrid>
      <w:tr w:rsidR="0015476E" w:rsidRPr="0015476E" w14:paraId="7FDBDC4C" w14:textId="77777777" w:rsidTr="0015476E">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73365FC6" w14:textId="77777777" w:rsidR="0015476E" w:rsidRPr="0015476E" w:rsidRDefault="0015476E" w:rsidP="0015476E">
            <w:pPr>
              <w:rPr>
                <w:rFonts w:ascii="Calibri" w:eastAsia="Times New Roman" w:hAnsi="Calibri" w:cs="Calibri"/>
              </w:rPr>
            </w:pPr>
            <w:r w:rsidRPr="0015476E">
              <w:rPr>
                <w:rFonts w:ascii="Calibri" w:eastAsia="Times New Roman" w:hAnsi="Calibri" w:cs="Calibri"/>
                <w:b/>
                <w:bCs/>
              </w:rPr>
              <w:t>Instructional Method - Spring 2021</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0805168F" w14:textId="77777777" w:rsidR="0015476E" w:rsidRPr="0015476E" w:rsidRDefault="0015476E" w:rsidP="0015476E">
            <w:pPr>
              <w:rPr>
                <w:rFonts w:ascii="Calibri" w:eastAsia="Times New Roman" w:hAnsi="Calibri" w:cs="Calibri"/>
              </w:rPr>
            </w:pPr>
            <w:r w:rsidRPr="0015476E">
              <w:rPr>
                <w:rFonts w:ascii="Calibri" w:eastAsia="Times New Roman" w:hAnsi="Calibri" w:cs="Calibri"/>
                <w:b/>
                <w:bCs/>
              </w:rPr>
              <w:t>Sections</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463F2784" w14:textId="77777777" w:rsidR="0015476E" w:rsidRPr="0015476E" w:rsidRDefault="0015476E" w:rsidP="0015476E">
            <w:pPr>
              <w:rPr>
                <w:rFonts w:ascii="Calibri" w:eastAsia="Times New Roman" w:hAnsi="Calibri" w:cs="Calibri"/>
              </w:rPr>
            </w:pPr>
            <w:r w:rsidRPr="0015476E">
              <w:rPr>
                <w:rFonts w:ascii="Calibri" w:eastAsia="Times New Roman" w:hAnsi="Calibri" w:cs="Calibri"/>
                <w:b/>
                <w:bCs/>
              </w:rPr>
              <w:t>12/15/2020</w:t>
            </w:r>
          </w:p>
        </w:tc>
      </w:tr>
      <w:tr w:rsidR="0015476E" w:rsidRPr="0015476E" w14:paraId="4360BCB3" w14:textId="77777777" w:rsidTr="0015476E">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309F5EA6"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F2F</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6CFED6B3"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1912</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077F8D69"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32.01%</w:t>
            </w:r>
          </w:p>
        </w:tc>
      </w:tr>
      <w:tr w:rsidR="0015476E" w:rsidRPr="0015476E" w14:paraId="41DA4858" w14:textId="77777777" w:rsidTr="0015476E">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71340AC6"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Hybrid</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748E2F69"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2039</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0DBDB520"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34.14%</w:t>
            </w:r>
          </w:p>
        </w:tc>
      </w:tr>
      <w:tr w:rsidR="0015476E" w:rsidRPr="0015476E" w14:paraId="0CAC8463" w14:textId="77777777" w:rsidTr="0015476E">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6E1628E4"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Online</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632B9342"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2021</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19BD427D"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33.84%</w:t>
            </w:r>
          </w:p>
        </w:tc>
      </w:tr>
      <w:tr w:rsidR="0015476E" w:rsidRPr="0015476E" w14:paraId="2DBE0572" w14:textId="77777777" w:rsidTr="0015476E">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515F8EAC"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Total:</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59F14BFA"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5972</w:t>
            </w:r>
          </w:p>
        </w:tc>
        <w:tc>
          <w:tcPr>
            <w:tcW w:w="0" w:type="auto"/>
            <w:tcBorders>
              <w:top w:val="single" w:sz="6" w:space="0" w:color="252423"/>
              <w:left w:val="single" w:sz="6" w:space="0" w:color="252423"/>
              <w:bottom w:val="single" w:sz="6" w:space="0" w:color="252423"/>
              <w:right w:val="single" w:sz="6" w:space="0" w:color="252423"/>
            </w:tcBorders>
            <w:shd w:val="clear" w:color="auto" w:fill="auto"/>
            <w:hideMark/>
          </w:tcPr>
          <w:p w14:paraId="18FC9A74" w14:textId="77777777" w:rsidR="0015476E" w:rsidRPr="0015476E" w:rsidRDefault="0015476E" w:rsidP="0015476E">
            <w:pPr>
              <w:rPr>
                <w:rFonts w:ascii="Calibri" w:eastAsia="Times New Roman" w:hAnsi="Calibri" w:cs="Calibri"/>
              </w:rPr>
            </w:pPr>
            <w:r w:rsidRPr="0015476E">
              <w:rPr>
                <w:rFonts w:ascii="Calibri" w:eastAsia="Times New Roman" w:hAnsi="Calibri" w:cs="Calibri"/>
              </w:rPr>
              <w:t> </w:t>
            </w:r>
          </w:p>
        </w:tc>
      </w:tr>
    </w:tbl>
    <w:p w14:paraId="6DE3ADD1"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52902F19"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Could we use 32 percent of F2F sections as our basis for phased-in instruction in Week 2? Would we need to reduce the percentage of these sections even further on on-campus instruction? Kelly Long would send a message to Provost Pedersen.</w:t>
      </w:r>
    </w:p>
    <w:p w14:paraId="006BBBCF"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4010B2FD"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Who would carry the load of on-campus instruction in Phase 2? With a focus on first-year students, NTTF and GTAs would teach those on-campus courses. </w:t>
      </w:r>
    </w:p>
    <w:p w14:paraId="5BAF75FE"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754E6DA8" w14:textId="76999383"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xml:space="preserve">We need communicate our logic. GTA-taught courses serve graduate students who would </w:t>
      </w:r>
      <w:r w:rsidR="00207E9E">
        <w:rPr>
          <w:rFonts w:ascii="Calibri" w:eastAsia="Times New Roman" w:hAnsi="Calibri" w:cs="Calibri"/>
          <w:color w:val="252423"/>
        </w:rPr>
        <w:t xml:space="preserve">have </w:t>
      </w:r>
      <w:r w:rsidRPr="0015476E">
        <w:rPr>
          <w:rFonts w:ascii="Calibri" w:eastAsia="Times New Roman" w:hAnsi="Calibri" w:cs="Calibri"/>
          <w:color w:val="252423"/>
        </w:rPr>
        <w:t>their classes on-campus as well. We considered the educational needs of these students. We need to consider the low enrollment in AUCC courses taught by GTAs and CCAs.</w:t>
      </w:r>
    </w:p>
    <w:p w14:paraId="5CD1C4CF"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76781FEC"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Should we let the colleges decide? Beth Walker would recommend hybrid courses (senior-facing courses) rather than F2F classes for Phase 2. Jan Nerger would recommend her lab classes. We might need to consider courses with certain in-person requirements.</w:t>
      </w:r>
    </w:p>
    <w:p w14:paraId="796DA20F"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7DEF0711" w14:textId="7CBCFD40"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We would need consistent messaging about our decision. Phase 1 would allow students to move on-campus and begin testing and isolation. Whether we move into Phase 2 and Phase 3 would be based on public health guidance.</w:t>
      </w:r>
    </w:p>
    <w:p w14:paraId="55EF0D7D"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4EE5470E"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We would need a method of communicating to students about on-campus courses in each phase. How would we communicate? Could we use Canvas? What about instructors? Communication would be critical. It would have to be a central communication source rather than through departments. </w:t>
      </w:r>
    </w:p>
    <w:p w14:paraId="4CE3CB56"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59FC879E"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Would students wait to return to campus? </w:t>
      </w:r>
    </w:p>
    <w:p w14:paraId="47EBAF62"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 </w:t>
      </w:r>
    </w:p>
    <w:p w14:paraId="37B42D86" w14:textId="77777777" w:rsidR="0015476E"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With 1,912 F2F sections, this might be too many sections for in-person instruction in Phase 2. What about sections that do not meet criteria or priorities for Phase 2?</w:t>
      </w:r>
    </w:p>
    <w:p w14:paraId="16434F3D" w14:textId="64B5C27F" w:rsidR="0015476E" w:rsidRPr="0015476E" w:rsidRDefault="0015476E" w:rsidP="0015476E">
      <w:pPr>
        <w:shd w:val="clear" w:color="auto" w:fill="FFFFFF"/>
        <w:rPr>
          <w:rFonts w:ascii="Calibri" w:eastAsia="Times New Roman" w:hAnsi="Calibri" w:cs="Calibri"/>
          <w:color w:val="252423"/>
        </w:rPr>
      </w:pPr>
    </w:p>
    <w:p w14:paraId="14D2E7DF" w14:textId="57B0CE15" w:rsidR="00731155" w:rsidRPr="0015476E" w:rsidRDefault="0015476E" w:rsidP="0015476E">
      <w:pPr>
        <w:shd w:val="clear" w:color="auto" w:fill="FFFFFF"/>
        <w:rPr>
          <w:rFonts w:ascii="Calibri" w:eastAsia="Times New Roman" w:hAnsi="Calibri" w:cs="Calibri"/>
          <w:color w:val="252423"/>
        </w:rPr>
      </w:pPr>
      <w:r w:rsidRPr="0015476E">
        <w:rPr>
          <w:rFonts w:ascii="Calibri" w:eastAsia="Times New Roman" w:hAnsi="Calibri" w:cs="Calibri"/>
          <w:color w:val="252423"/>
        </w:rPr>
        <w:t>With Deans verifying with departments, instructors might consider changing their course delivery, which would naturally lower the amount of F2F sections. In addition, faculty might wait to make their decision based on messaging from President McConnell.</w:t>
      </w:r>
    </w:p>
    <w:sectPr w:rsidR="00731155" w:rsidRPr="001547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A959C0"/>
    <w:multiLevelType w:val="multilevel"/>
    <w:tmpl w:val="B91E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622E29"/>
    <w:multiLevelType w:val="multilevel"/>
    <w:tmpl w:val="1EE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EE67BC"/>
    <w:multiLevelType w:val="multilevel"/>
    <w:tmpl w:val="AAF4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8"/>
  </w:num>
  <w:num w:numId="4">
    <w:abstractNumId w:val="14"/>
  </w:num>
  <w:num w:numId="5">
    <w:abstractNumId w:val="15"/>
  </w:num>
  <w:num w:numId="6">
    <w:abstractNumId w:val="10"/>
  </w:num>
  <w:num w:numId="7">
    <w:abstractNumId w:val="25"/>
  </w:num>
  <w:num w:numId="8">
    <w:abstractNumId w:val="35"/>
  </w:num>
  <w:num w:numId="9">
    <w:abstractNumId w:val="34"/>
  </w:num>
  <w:num w:numId="10">
    <w:abstractNumId w:val="31"/>
  </w:num>
  <w:num w:numId="11">
    <w:abstractNumId w:val="3"/>
  </w:num>
  <w:num w:numId="12">
    <w:abstractNumId w:val="29"/>
  </w:num>
  <w:num w:numId="13">
    <w:abstractNumId w:val="19"/>
  </w:num>
  <w:num w:numId="14">
    <w:abstractNumId w:val="22"/>
  </w:num>
  <w:num w:numId="15">
    <w:abstractNumId w:val="8"/>
  </w:num>
  <w:num w:numId="16">
    <w:abstractNumId w:val="4"/>
  </w:num>
  <w:num w:numId="17">
    <w:abstractNumId w:val="9"/>
  </w:num>
  <w:num w:numId="18">
    <w:abstractNumId w:val="33"/>
  </w:num>
  <w:num w:numId="19">
    <w:abstractNumId w:val="17"/>
  </w:num>
  <w:num w:numId="20">
    <w:abstractNumId w:val="38"/>
  </w:num>
  <w:num w:numId="21">
    <w:abstractNumId w:val="36"/>
  </w:num>
  <w:num w:numId="22">
    <w:abstractNumId w:val="32"/>
  </w:num>
  <w:num w:numId="23">
    <w:abstractNumId w:val="27"/>
  </w:num>
  <w:num w:numId="24">
    <w:abstractNumId w:val="16"/>
  </w:num>
  <w:num w:numId="25">
    <w:abstractNumId w:val="13"/>
  </w:num>
  <w:num w:numId="26">
    <w:abstractNumId w:val="26"/>
  </w:num>
  <w:num w:numId="27">
    <w:abstractNumId w:val="24"/>
  </w:num>
  <w:num w:numId="28">
    <w:abstractNumId w:val="23"/>
  </w:num>
  <w:num w:numId="29">
    <w:abstractNumId w:val="1"/>
  </w:num>
  <w:num w:numId="30">
    <w:abstractNumId w:val="18"/>
  </w:num>
  <w:num w:numId="31">
    <w:abstractNumId w:val="11"/>
  </w:num>
  <w:num w:numId="32">
    <w:abstractNumId w:val="30"/>
  </w:num>
  <w:num w:numId="33">
    <w:abstractNumId w:val="0"/>
  </w:num>
  <w:num w:numId="34">
    <w:abstractNumId w:val="5"/>
  </w:num>
  <w:num w:numId="35">
    <w:abstractNumId w:val="20"/>
  </w:num>
  <w:num w:numId="36">
    <w:abstractNumId w:val="2"/>
  </w:num>
  <w:num w:numId="37">
    <w:abstractNumId w:val="7"/>
  </w:num>
  <w:num w:numId="38">
    <w:abstractNumId w:val="21"/>
  </w:num>
  <w:num w:numId="39">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35907"/>
    <w:rsid w:val="00235993"/>
    <w:rsid w:val="00262FA4"/>
    <w:rsid w:val="00273718"/>
    <w:rsid w:val="0029462D"/>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4FE"/>
    <w:rsid w:val="005618A6"/>
    <w:rsid w:val="00564515"/>
    <w:rsid w:val="0057332E"/>
    <w:rsid w:val="00574383"/>
    <w:rsid w:val="005849A9"/>
    <w:rsid w:val="00592BA7"/>
    <w:rsid w:val="005A3C0D"/>
    <w:rsid w:val="005B6258"/>
    <w:rsid w:val="005D753D"/>
    <w:rsid w:val="005E287F"/>
    <w:rsid w:val="00627D65"/>
    <w:rsid w:val="006804BA"/>
    <w:rsid w:val="006B15AB"/>
    <w:rsid w:val="006E00E6"/>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27D84"/>
    <w:rsid w:val="00A307C1"/>
    <w:rsid w:val="00A3515D"/>
    <w:rsid w:val="00A45B8C"/>
    <w:rsid w:val="00A51FC5"/>
    <w:rsid w:val="00A835E7"/>
    <w:rsid w:val="00AD2330"/>
    <w:rsid w:val="00AF1DCF"/>
    <w:rsid w:val="00AF41E4"/>
    <w:rsid w:val="00AF692E"/>
    <w:rsid w:val="00B149BC"/>
    <w:rsid w:val="00B37B71"/>
    <w:rsid w:val="00B473C6"/>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A2921"/>
    <w:rsid w:val="00EB77CB"/>
    <w:rsid w:val="00EE7A4D"/>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C28E6-50E0-4865-ADB9-1FECD9F7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2021-01-06T16:03:00Z</dcterms:created>
  <dcterms:modified xsi:type="dcterms:W3CDTF">2021-01-06T16:05:00Z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